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F2E2" w14:textId="77777777" w:rsidR="005C60DC" w:rsidRPr="005C60DC" w:rsidRDefault="005C60DC" w:rsidP="005C60DC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32"/>
          <w:szCs w:val="20"/>
        </w:rPr>
      </w:pPr>
      <w:r w:rsidRPr="005C60DC">
        <w:rPr>
          <w:rFonts w:ascii="inherit" w:hAnsi="inherit"/>
          <w:color w:val="000000"/>
          <w:spacing w:val="-5"/>
          <w:sz w:val="32"/>
          <w:szCs w:val="20"/>
        </w:rPr>
        <w:t xml:space="preserve">Перенос публичных обсуждений правоприменительной практики на более </w:t>
      </w:r>
      <w:proofErr w:type="spellStart"/>
      <w:r w:rsidRPr="005C60DC">
        <w:rPr>
          <w:rFonts w:ascii="inherit" w:hAnsi="inherit"/>
          <w:color w:val="000000"/>
          <w:spacing w:val="-5"/>
          <w:sz w:val="32"/>
          <w:szCs w:val="20"/>
        </w:rPr>
        <w:t>позний</w:t>
      </w:r>
      <w:proofErr w:type="spellEnd"/>
      <w:r w:rsidRPr="005C60DC">
        <w:rPr>
          <w:rFonts w:ascii="inherit" w:hAnsi="inherit"/>
          <w:color w:val="000000"/>
          <w:spacing w:val="-5"/>
          <w:sz w:val="32"/>
          <w:szCs w:val="20"/>
        </w:rPr>
        <w:t xml:space="preserve"> срок</w:t>
      </w:r>
    </w:p>
    <w:p w14:paraId="1FB77F96" w14:textId="77777777" w:rsidR="005C60DC" w:rsidRDefault="005C60DC" w:rsidP="005C60D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5593312E" w14:textId="77777777" w:rsidR="005C60DC" w:rsidRDefault="005C60DC" w:rsidP="005C60D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69D58C5C" w14:textId="5DA672E9" w:rsidR="005C60DC" w:rsidRDefault="005C60DC" w:rsidP="005C60DC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 целях исполнения распоряжения руководителя Федеральной службы по надзору в сфере транспорта от 06.03.2020 г. № ВБ-49-р(</w:t>
      </w:r>
      <w:proofErr w:type="spellStart"/>
      <w:r>
        <w:rPr>
          <w:rFonts w:ascii="Roboto Condensed" w:hAnsi="Roboto Condensed"/>
          <w:color w:val="000000"/>
          <w:sz w:val="21"/>
          <w:szCs w:val="21"/>
        </w:rPr>
        <w:t>фс</w:t>
      </w:r>
      <w:proofErr w:type="spellEnd"/>
      <w:r>
        <w:rPr>
          <w:rFonts w:ascii="Roboto Condensed" w:hAnsi="Roboto Condensed"/>
          <w:color w:val="000000"/>
          <w:sz w:val="21"/>
          <w:szCs w:val="21"/>
        </w:rPr>
        <w:t xml:space="preserve">), публичные обсуждения правоприменительной практики, запланированные на к проведению на 19.03.2020 г. по адресу г. Симферополь, пл. Привокзальная, 3а актовый зал Дом культуры железнодорожников, переносятся на более поздний срок, до улучшения эпидемиологической обстановки </w:t>
      </w:r>
      <w:proofErr w:type="spellStart"/>
      <w:r>
        <w:rPr>
          <w:rFonts w:ascii="Roboto Condensed" w:hAnsi="Roboto Condensed"/>
          <w:color w:val="000000"/>
          <w:sz w:val="21"/>
          <w:szCs w:val="21"/>
        </w:rPr>
        <w:t>иустранения</w:t>
      </w:r>
      <w:proofErr w:type="spellEnd"/>
      <w:r>
        <w:rPr>
          <w:rFonts w:ascii="Roboto Condensed" w:hAnsi="Roboto Condensed"/>
          <w:color w:val="000000"/>
          <w:sz w:val="21"/>
          <w:szCs w:val="21"/>
        </w:rPr>
        <w:t xml:space="preserve"> угрозы распространения новой коронавирусной инфекции (2019-nCov).</w:t>
      </w:r>
    </w:p>
    <w:p w14:paraId="36E70DDE" w14:textId="0580B9A0" w:rsidR="00250B39" w:rsidRPr="005C60DC" w:rsidRDefault="00250B39" w:rsidP="005C60DC"/>
    <w:sectPr w:rsidR="00250B39" w:rsidRPr="005C60DC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10A1C"/>
    <w:rsid w:val="00027551"/>
    <w:rsid w:val="000F2EB6"/>
    <w:rsid w:val="001542E1"/>
    <w:rsid w:val="001939B9"/>
    <w:rsid w:val="00250B39"/>
    <w:rsid w:val="002614B6"/>
    <w:rsid w:val="003E457E"/>
    <w:rsid w:val="003F3D68"/>
    <w:rsid w:val="004552AA"/>
    <w:rsid w:val="00501ED4"/>
    <w:rsid w:val="00572233"/>
    <w:rsid w:val="00581167"/>
    <w:rsid w:val="005C60DC"/>
    <w:rsid w:val="005E2908"/>
    <w:rsid w:val="00803035"/>
    <w:rsid w:val="0083120E"/>
    <w:rsid w:val="0085359A"/>
    <w:rsid w:val="009D0CF2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2022-09-25T10:36:00Z</dcterms:created>
  <dcterms:modified xsi:type="dcterms:W3CDTF">2022-09-25T10:36:00Z</dcterms:modified>
</cp:coreProperties>
</file>